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4B9" w:rsidRPr="00EF04B9" w:rsidRDefault="000179A5" w:rsidP="00EF04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Понятие</w:t>
      </w:r>
      <w:r w:rsidR="00D659E0">
        <w:rPr>
          <w:rFonts w:ascii="Times New Roman" w:hAnsi="Times New Roman" w:cs="Times New Roman"/>
          <w:b/>
          <w:sz w:val="28"/>
          <w:szCs w:val="28"/>
        </w:rPr>
        <w:t xml:space="preserve"> терроризма</w:t>
      </w:r>
      <w:r>
        <w:rPr>
          <w:rFonts w:ascii="Times New Roman" w:hAnsi="Times New Roman" w:cs="Times New Roman"/>
          <w:b/>
          <w:sz w:val="28"/>
          <w:szCs w:val="28"/>
        </w:rPr>
        <w:t xml:space="preserve"> и ответственность за него</w:t>
      </w:r>
    </w:p>
    <w:p w:rsidR="006E4A8F" w:rsidRDefault="006E4A8F" w:rsidP="005F74BB">
      <w:pPr>
        <w:spacing w:after="0" w:line="240" w:lineRule="auto"/>
        <w:ind w:firstLine="708"/>
        <w:jc w:val="both"/>
        <w:rPr>
          <w:rFonts w:ascii="Times New Roman" w:hAnsi="Times New Roman" w:cs="Times New Roman"/>
          <w:sz w:val="28"/>
          <w:szCs w:val="28"/>
        </w:rPr>
      </w:pP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Основным нормативным правовым актом, регулирующим борьбу с рассматриваемым явлением, является Федеральный закон от 06.03.2006 N 35-ФЗ "О противодействии терроризму" (далее - Закон о противодействии терроризму).</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В нем устанавливаются правовая основа противодействия терроризму, его основные принципы, а также разъясняются важные понятия в этой сфере.</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В частности, согласно п. 1 ст. 3 Закона о противодействии терроризму под терроризмом понимаются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Как следует из п. 2 указанной статьи, под террористической понимается деятельность, включающая в себя:</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организацию, планирование, подготовку, финансирование и реализацию террористического акта;</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подстрекательство к террористическому акту;</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УК РФ, п. 23 Постановления Пленума Верховного Суда РФ от 09.02.2012 N 1 "О некоторых вопросах судебной практики по уголовным делам о преступлениях террористической направленности" (далее - Постановление Пленума ВС РФ о преступлениях террористической направленности) 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вербовку, вооружение, обучение и использование террористов;</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информационное или иное пособничество в планировании, подготовке или реализации террористического акта;</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D659E0" w:rsidRDefault="00D659E0" w:rsidP="000179A5">
      <w:pPr>
        <w:spacing w:after="0" w:line="240" w:lineRule="auto"/>
        <w:ind w:firstLine="540"/>
        <w:jc w:val="both"/>
        <w:rPr>
          <w:rFonts w:ascii="Times New Roman" w:hAnsi="Times New Roman" w:cs="Times New Roman"/>
          <w:sz w:val="24"/>
          <w:szCs w:val="24"/>
        </w:rPr>
      </w:pPr>
    </w:p>
    <w:p w:rsidR="00D659E0" w:rsidRPr="00D659E0" w:rsidRDefault="00D659E0" w:rsidP="00D659E0">
      <w:pPr>
        <w:spacing w:after="0" w:line="240" w:lineRule="auto"/>
        <w:jc w:val="center"/>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Ответственность за совершение террористического акта</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Как следует из преамбулы Постановления Пленума ВС РФ о преступлениях террористической направленности, 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На основании ч. 1 ст. 205 УК РФ совершение террористического акта влечет ответственность в виде лишения свободы на срок от десяти до пятнадцати лет.</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Первой группой квалифицирующих признаков указанного преступления являются:</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совершение преступления группой лиц по предварительному сговору или организованной группой;</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последствия теракта в виде причинения по неосторожности смерти человека;</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lastRenderedPageBreak/>
        <w:t>- причинение значительного имущественного ущерба либо наступление иных тяжких последствий.</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На основании ч. 2 ст. 205 УК совершение теракта с указанными квалифицирующими признаками влечет лишение свободы на срок от двенадцати до двадцати лет с ограничением свободы на срок от одного года до двух лет.</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Второй группой квалифицирующих признаков для рассматриваемого деяния являются:</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сопряжение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последствия теракта, повлекшие умышленное причинение смерти человеку.</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На основании ч. 3 ст. 205 УК совершение теракта с указанными квалифицирующими признаками влечет лишение свободы на срок от пятнадцати до двадцати лет с ограничением свободы на срок от одного года до двух лет или пожизненное лишение свободы.</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Важно также отметить, что своевременное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 участвовавшего в подготовке террористического акта, от уголовной ответственности при условии, что в его действиях не содержится иного состава преступления (примечание к ст. 205 УК РФ).</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Кроме того, УК РФ установлена уголовная ответственность за:</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содействие террористической деятельности (а именно за склонение, вербовку или иное вовлечение лица в совершение преступлений соответствующей направленности) (ст. 205.1);</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публичные призывы к осуществлению террористической деятельности, публичное оправдание терроризма или пропаганда терроризма (ст. 205.2);</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прохождение обучения в целях осуществления террористической деятельности (ст. 205.3);</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организацию террористического сообщества и руководство им, а также участие в нем (ст. 205.4);</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организацию деятельности террористической организации и участие в деятельности такой организации (ст. 205.5).</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Перечень указанных составов преступлений террористической направленности с 20.07.2016 дополнился составом, предусмотренным ст. 205.6 УК РФ, -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террористической направленности (за исключением случаев, когда таким лицом является супруг или близкий родственник).</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Помимо указанных преступлений к перечню уголовных преступлений террористической направленности относятся:</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захват заложника, совершенный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(ст. 206 УК РФ);</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создание вооруженного формирования (объединения, отряда, дружины или иной группы), не предусмотренного федеральным законом, руководство таким формированием, его финансирование, участие в нем,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(ст. 208 УК РФ);</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угон или захват с целью угона воздушного или водного транспорта либо железнодорожного подвижного состава (ст. 211 УК РФ);</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lastRenderedPageBreak/>
        <w:t>- незаконные приобретение, хранение, использование, передача или разрушение ядерных материалов или радиоактивных веществ, а также их хищение или вымогательство (ст. ст. 220, 221 УК РФ);</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(ст. 277 УК РФ);</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совершение действий, направленных на насильственный захват власти или насильственное удержание власти в нарушение Конституции Российской Федерации, а равно направленных на насильственное изменение конституционного строя Российской Федерации (ст. 278 УК РФ);</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xml:space="preserve">- организация вооруженного мятежа либо активное участие в нем в целях свержения или насильственного изменения конституционного строя Российской </w:t>
      </w:r>
      <w:proofErr w:type="gramStart"/>
      <w:r w:rsidRPr="00D659E0">
        <w:rPr>
          <w:rFonts w:ascii="Times New Roman" w:eastAsia="Times New Roman" w:hAnsi="Times New Roman" w:cs="Times New Roman"/>
          <w:sz w:val="24"/>
          <w:szCs w:val="24"/>
          <w:lang w:eastAsia="ru-RU"/>
        </w:rPr>
        <w:t>Федерации</w:t>
      </w:r>
      <w:proofErr w:type="gramEnd"/>
      <w:r w:rsidRPr="00D659E0">
        <w:rPr>
          <w:rFonts w:ascii="Times New Roman" w:eastAsia="Times New Roman" w:hAnsi="Times New Roman" w:cs="Times New Roman"/>
          <w:sz w:val="24"/>
          <w:szCs w:val="24"/>
          <w:lang w:eastAsia="ru-RU"/>
        </w:rPr>
        <w:t xml:space="preserve"> либо нарушения территориальной целостности Российской Федерации (ст. 279 УК РФ);</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в том числе в целях провокации войны или осложнения международных отношений (ст. 360 УК РФ);</w:t>
      </w:r>
    </w:p>
    <w:p w:rsidR="00D659E0" w:rsidRPr="00D659E0" w:rsidRDefault="00D659E0" w:rsidP="00D659E0">
      <w:pPr>
        <w:spacing w:after="0" w:line="240" w:lineRule="auto"/>
        <w:ind w:firstLine="540"/>
        <w:jc w:val="both"/>
        <w:rPr>
          <w:rFonts w:ascii="Verdana" w:eastAsia="Times New Roman" w:hAnsi="Verdana" w:cs="Times New Roman"/>
          <w:sz w:val="21"/>
          <w:szCs w:val="21"/>
          <w:lang w:eastAsia="ru-RU"/>
        </w:rPr>
      </w:pPr>
      <w:r w:rsidRPr="00D659E0">
        <w:rPr>
          <w:rFonts w:ascii="Times New Roman" w:eastAsia="Times New Roman" w:hAnsi="Times New Roman" w:cs="Times New Roman"/>
          <w:sz w:val="24"/>
          <w:szCs w:val="24"/>
          <w:lang w:eastAsia="ru-RU"/>
        </w:rPr>
        <w:t>- акт международного терроризма (т.е.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финансирование таких деяний, склонение, вербовка или иное вовлечение лица в их совершение либо вооружение или подготовка лица в целях совершения указанных деяний (ст. 361 УК РФ).</w:t>
      </w:r>
    </w:p>
    <w:p w:rsidR="000179A5" w:rsidRPr="000179A5" w:rsidRDefault="00D659E0" w:rsidP="00D659E0">
      <w:pPr>
        <w:spacing w:after="0" w:line="240" w:lineRule="auto"/>
        <w:ind w:firstLine="540"/>
        <w:jc w:val="both"/>
        <w:rPr>
          <w:rFonts w:ascii="Verdana" w:eastAsia="Times New Roman" w:hAnsi="Verdana" w:cs="Times New Roman"/>
          <w:sz w:val="24"/>
          <w:szCs w:val="24"/>
          <w:lang w:eastAsia="ru-RU"/>
        </w:rPr>
      </w:pPr>
      <w:r w:rsidRPr="00D659E0">
        <w:rPr>
          <w:rFonts w:ascii="Times New Roman" w:eastAsia="Times New Roman" w:hAnsi="Times New Roman" w:cs="Times New Roman"/>
          <w:sz w:val="24"/>
          <w:szCs w:val="24"/>
          <w:lang w:eastAsia="ru-RU"/>
        </w:rPr>
        <w:t> </w:t>
      </w:r>
      <w:bookmarkStart w:id="0" w:name="_GoBack"/>
      <w:bookmarkEnd w:id="0"/>
    </w:p>
    <w:p w:rsidR="00C64A92" w:rsidRPr="00C64A92" w:rsidRDefault="00C64A92" w:rsidP="000179A5">
      <w:pPr>
        <w:spacing w:after="0" w:line="240" w:lineRule="auto"/>
        <w:ind w:firstLine="540"/>
        <w:jc w:val="both"/>
        <w:rPr>
          <w:rFonts w:ascii="Verdana" w:eastAsia="Times New Roman" w:hAnsi="Verdana" w:cs="Times New Roman"/>
          <w:sz w:val="24"/>
          <w:szCs w:val="24"/>
          <w:lang w:eastAsia="ru-RU"/>
        </w:rPr>
      </w:pPr>
    </w:p>
    <w:sectPr w:rsidR="00C64A92" w:rsidRPr="00C64A92" w:rsidSect="003F2D47">
      <w:pgSz w:w="11905" w:h="16838"/>
      <w:pgMar w:top="1440" w:right="565" w:bottom="1440"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B7558"/>
    <w:multiLevelType w:val="hybridMultilevel"/>
    <w:tmpl w:val="F0B29EDE"/>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1EE"/>
    <w:rsid w:val="000179A5"/>
    <w:rsid w:val="000C66FC"/>
    <w:rsid w:val="00217391"/>
    <w:rsid w:val="00271754"/>
    <w:rsid w:val="002C1CD7"/>
    <w:rsid w:val="002D382F"/>
    <w:rsid w:val="00304AA8"/>
    <w:rsid w:val="003F2D47"/>
    <w:rsid w:val="005F74BB"/>
    <w:rsid w:val="006553B6"/>
    <w:rsid w:val="006E4A8F"/>
    <w:rsid w:val="007461F3"/>
    <w:rsid w:val="00761CCC"/>
    <w:rsid w:val="007A6CB9"/>
    <w:rsid w:val="007E54B5"/>
    <w:rsid w:val="00825C58"/>
    <w:rsid w:val="0084313C"/>
    <w:rsid w:val="008B61EE"/>
    <w:rsid w:val="00A506A5"/>
    <w:rsid w:val="00AC34BC"/>
    <w:rsid w:val="00C0096B"/>
    <w:rsid w:val="00C64A92"/>
    <w:rsid w:val="00D659E0"/>
    <w:rsid w:val="00DE1288"/>
    <w:rsid w:val="00EC3BD9"/>
    <w:rsid w:val="00EC3D75"/>
    <w:rsid w:val="00EF04B9"/>
    <w:rsid w:val="00F8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5385"/>
  <w15:docId w15:val="{713CEAF7-8031-4A7F-ADBE-C3589DE5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4B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22050">
      <w:bodyDiv w:val="1"/>
      <w:marLeft w:val="0"/>
      <w:marRight w:val="0"/>
      <w:marTop w:val="0"/>
      <w:marBottom w:val="0"/>
      <w:divBdr>
        <w:top w:val="none" w:sz="0" w:space="0" w:color="auto"/>
        <w:left w:val="none" w:sz="0" w:space="0" w:color="auto"/>
        <w:bottom w:val="none" w:sz="0" w:space="0" w:color="auto"/>
        <w:right w:val="none" w:sz="0" w:space="0" w:color="auto"/>
      </w:divBdr>
      <w:divsChild>
        <w:div w:id="1015427154">
          <w:marLeft w:val="0"/>
          <w:marRight w:val="0"/>
          <w:marTop w:val="0"/>
          <w:marBottom w:val="0"/>
          <w:divBdr>
            <w:top w:val="none" w:sz="0" w:space="0" w:color="auto"/>
            <w:left w:val="none" w:sz="0" w:space="0" w:color="auto"/>
            <w:bottom w:val="none" w:sz="0" w:space="0" w:color="auto"/>
            <w:right w:val="none" w:sz="0" w:space="0" w:color="auto"/>
          </w:divBdr>
        </w:div>
        <w:div w:id="1663893769">
          <w:marLeft w:val="0"/>
          <w:marRight w:val="0"/>
          <w:marTop w:val="0"/>
          <w:marBottom w:val="0"/>
          <w:divBdr>
            <w:top w:val="none" w:sz="0" w:space="0" w:color="auto"/>
            <w:left w:val="none" w:sz="0" w:space="0" w:color="auto"/>
            <w:bottom w:val="none" w:sz="0" w:space="0" w:color="auto"/>
            <w:right w:val="none" w:sz="0" w:space="0" w:color="auto"/>
          </w:divBdr>
        </w:div>
        <w:div w:id="1056589242">
          <w:marLeft w:val="0"/>
          <w:marRight w:val="0"/>
          <w:marTop w:val="0"/>
          <w:marBottom w:val="0"/>
          <w:divBdr>
            <w:top w:val="none" w:sz="0" w:space="0" w:color="auto"/>
            <w:left w:val="none" w:sz="0" w:space="0" w:color="auto"/>
            <w:bottom w:val="none" w:sz="0" w:space="0" w:color="auto"/>
            <w:right w:val="none" w:sz="0" w:space="0" w:color="auto"/>
          </w:divBdr>
        </w:div>
      </w:divsChild>
    </w:div>
    <w:div w:id="574242012">
      <w:bodyDiv w:val="1"/>
      <w:marLeft w:val="0"/>
      <w:marRight w:val="0"/>
      <w:marTop w:val="0"/>
      <w:marBottom w:val="0"/>
      <w:divBdr>
        <w:top w:val="none" w:sz="0" w:space="0" w:color="auto"/>
        <w:left w:val="none" w:sz="0" w:space="0" w:color="auto"/>
        <w:bottom w:val="none" w:sz="0" w:space="0" w:color="auto"/>
        <w:right w:val="none" w:sz="0" w:space="0" w:color="auto"/>
      </w:divBdr>
    </w:div>
    <w:div w:id="582566010">
      <w:bodyDiv w:val="1"/>
      <w:marLeft w:val="0"/>
      <w:marRight w:val="0"/>
      <w:marTop w:val="0"/>
      <w:marBottom w:val="0"/>
      <w:divBdr>
        <w:top w:val="none" w:sz="0" w:space="0" w:color="auto"/>
        <w:left w:val="none" w:sz="0" w:space="0" w:color="auto"/>
        <w:bottom w:val="none" w:sz="0" w:space="0" w:color="auto"/>
        <w:right w:val="none" w:sz="0" w:space="0" w:color="auto"/>
      </w:divBdr>
    </w:div>
    <w:div w:id="651372060">
      <w:bodyDiv w:val="1"/>
      <w:marLeft w:val="0"/>
      <w:marRight w:val="0"/>
      <w:marTop w:val="0"/>
      <w:marBottom w:val="0"/>
      <w:divBdr>
        <w:top w:val="none" w:sz="0" w:space="0" w:color="auto"/>
        <w:left w:val="none" w:sz="0" w:space="0" w:color="auto"/>
        <w:bottom w:val="none" w:sz="0" w:space="0" w:color="auto"/>
        <w:right w:val="none" w:sz="0" w:space="0" w:color="auto"/>
      </w:divBdr>
    </w:div>
    <w:div w:id="706951019">
      <w:bodyDiv w:val="1"/>
      <w:marLeft w:val="0"/>
      <w:marRight w:val="0"/>
      <w:marTop w:val="0"/>
      <w:marBottom w:val="0"/>
      <w:divBdr>
        <w:top w:val="none" w:sz="0" w:space="0" w:color="auto"/>
        <w:left w:val="none" w:sz="0" w:space="0" w:color="auto"/>
        <w:bottom w:val="none" w:sz="0" w:space="0" w:color="auto"/>
        <w:right w:val="none" w:sz="0" w:space="0" w:color="auto"/>
      </w:divBdr>
    </w:div>
    <w:div w:id="816534262">
      <w:bodyDiv w:val="1"/>
      <w:marLeft w:val="0"/>
      <w:marRight w:val="0"/>
      <w:marTop w:val="0"/>
      <w:marBottom w:val="0"/>
      <w:divBdr>
        <w:top w:val="none" w:sz="0" w:space="0" w:color="auto"/>
        <w:left w:val="none" w:sz="0" w:space="0" w:color="auto"/>
        <w:bottom w:val="none" w:sz="0" w:space="0" w:color="auto"/>
        <w:right w:val="none" w:sz="0" w:space="0" w:color="auto"/>
      </w:divBdr>
    </w:div>
    <w:div w:id="1122193233">
      <w:bodyDiv w:val="1"/>
      <w:marLeft w:val="0"/>
      <w:marRight w:val="0"/>
      <w:marTop w:val="0"/>
      <w:marBottom w:val="0"/>
      <w:divBdr>
        <w:top w:val="none" w:sz="0" w:space="0" w:color="auto"/>
        <w:left w:val="none" w:sz="0" w:space="0" w:color="auto"/>
        <w:bottom w:val="none" w:sz="0" w:space="0" w:color="auto"/>
        <w:right w:val="none" w:sz="0" w:space="0" w:color="auto"/>
      </w:divBdr>
    </w:div>
    <w:div w:id="1330910585">
      <w:bodyDiv w:val="1"/>
      <w:marLeft w:val="0"/>
      <w:marRight w:val="0"/>
      <w:marTop w:val="0"/>
      <w:marBottom w:val="0"/>
      <w:divBdr>
        <w:top w:val="none" w:sz="0" w:space="0" w:color="auto"/>
        <w:left w:val="none" w:sz="0" w:space="0" w:color="auto"/>
        <w:bottom w:val="none" w:sz="0" w:space="0" w:color="auto"/>
        <w:right w:val="none" w:sz="0" w:space="0" w:color="auto"/>
      </w:divBdr>
    </w:div>
    <w:div w:id="1355375987">
      <w:bodyDiv w:val="1"/>
      <w:marLeft w:val="0"/>
      <w:marRight w:val="0"/>
      <w:marTop w:val="0"/>
      <w:marBottom w:val="0"/>
      <w:divBdr>
        <w:top w:val="none" w:sz="0" w:space="0" w:color="auto"/>
        <w:left w:val="none" w:sz="0" w:space="0" w:color="auto"/>
        <w:bottom w:val="none" w:sz="0" w:space="0" w:color="auto"/>
        <w:right w:val="none" w:sz="0" w:space="0" w:color="auto"/>
      </w:divBdr>
    </w:div>
    <w:div w:id="1448699410">
      <w:bodyDiv w:val="1"/>
      <w:marLeft w:val="0"/>
      <w:marRight w:val="0"/>
      <w:marTop w:val="0"/>
      <w:marBottom w:val="0"/>
      <w:divBdr>
        <w:top w:val="none" w:sz="0" w:space="0" w:color="auto"/>
        <w:left w:val="none" w:sz="0" w:space="0" w:color="auto"/>
        <w:bottom w:val="none" w:sz="0" w:space="0" w:color="auto"/>
        <w:right w:val="none" w:sz="0" w:space="0" w:color="auto"/>
      </w:divBdr>
    </w:div>
    <w:div w:id="1518543368">
      <w:bodyDiv w:val="1"/>
      <w:marLeft w:val="0"/>
      <w:marRight w:val="0"/>
      <w:marTop w:val="0"/>
      <w:marBottom w:val="0"/>
      <w:divBdr>
        <w:top w:val="none" w:sz="0" w:space="0" w:color="auto"/>
        <w:left w:val="none" w:sz="0" w:space="0" w:color="auto"/>
        <w:bottom w:val="none" w:sz="0" w:space="0" w:color="auto"/>
        <w:right w:val="none" w:sz="0" w:space="0" w:color="auto"/>
      </w:divBdr>
    </w:div>
    <w:div w:id="1585185657">
      <w:bodyDiv w:val="1"/>
      <w:marLeft w:val="0"/>
      <w:marRight w:val="0"/>
      <w:marTop w:val="0"/>
      <w:marBottom w:val="0"/>
      <w:divBdr>
        <w:top w:val="none" w:sz="0" w:space="0" w:color="auto"/>
        <w:left w:val="none" w:sz="0" w:space="0" w:color="auto"/>
        <w:bottom w:val="none" w:sz="0" w:space="0" w:color="auto"/>
        <w:right w:val="none" w:sz="0" w:space="0" w:color="auto"/>
      </w:divBdr>
      <w:divsChild>
        <w:div w:id="229660801">
          <w:marLeft w:val="0"/>
          <w:marRight w:val="0"/>
          <w:marTop w:val="0"/>
          <w:marBottom w:val="0"/>
          <w:divBdr>
            <w:top w:val="none" w:sz="0" w:space="0" w:color="auto"/>
            <w:left w:val="none" w:sz="0" w:space="0" w:color="auto"/>
            <w:bottom w:val="none" w:sz="0" w:space="0" w:color="auto"/>
            <w:right w:val="none" w:sz="0" w:space="0" w:color="auto"/>
          </w:divBdr>
        </w:div>
      </w:divsChild>
    </w:div>
    <w:div w:id="1703047754">
      <w:bodyDiv w:val="1"/>
      <w:marLeft w:val="0"/>
      <w:marRight w:val="0"/>
      <w:marTop w:val="0"/>
      <w:marBottom w:val="0"/>
      <w:divBdr>
        <w:top w:val="none" w:sz="0" w:space="0" w:color="auto"/>
        <w:left w:val="none" w:sz="0" w:space="0" w:color="auto"/>
        <w:bottom w:val="none" w:sz="0" w:space="0" w:color="auto"/>
        <w:right w:val="none" w:sz="0" w:space="0" w:color="auto"/>
      </w:divBdr>
      <w:divsChild>
        <w:div w:id="817265630">
          <w:marLeft w:val="0"/>
          <w:marRight w:val="0"/>
          <w:marTop w:val="0"/>
          <w:marBottom w:val="0"/>
          <w:divBdr>
            <w:top w:val="none" w:sz="0" w:space="0" w:color="auto"/>
            <w:left w:val="none" w:sz="0" w:space="0" w:color="auto"/>
            <w:bottom w:val="none" w:sz="0" w:space="0" w:color="auto"/>
            <w:right w:val="none" w:sz="0" w:space="0" w:color="auto"/>
          </w:divBdr>
        </w:div>
        <w:div w:id="858087930">
          <w:marLeft w:val="0"/>
          <w:marRight w:val="0"/>
          <w:marTop w:val="0"/>
          <w:marBottom w:val="0"/>
          <w:divBdr>
            <w:top w:val="none" w:sz="0" w:space="0" w:color="auto"/>
            <w:left w:val="none" w:sz="0" w:space="0" w:color="auto"/>
            <w:bottom w:val="none" w:sz="0" w:space="0" w:color="auto"/>
            <w:right w:val="none" w:sz="0" w:space="0" w:color="auto"/>
          </w:divBdr>
        </w:div>
      </w:divsChild>
    </w:div>
    <w:div w:id="1760366002">
      <w:bodyDiv w:val="1"/>
      <w:marLeft w:val="0"/>
      <w:marRight w:val="0"/>
      <w:marTop w:val="0"/>
      <w:marBottom w:val="0"/>
      <w:divBdr>
        <w:top w:val="none" w:sz="0" w:space="0" w:color="auto"/>
        <w:left w:val="none" w:sz="0" w:space="0" w:color="auto"/>
        <w:bottom w:val="none" w:sz="0" w:space="0" w:color="auto"/>
        <w:right w:val="none" w:sz="0" w:space="0" w:color="auto"/>
      </w:divBdr>
    </w:div>
    <w:div w:id="1877615480">
      <w:bodyDiv w:val="1"/>
      <w:marLeft w:val="0"/>
      <w:marRight w:val="0"/>
      <w:marTop w:val="0"/>
      <w:marBottom w:val="0"/>
      <w:divBdr>
        <w:top w:val="none" w:sz="0" w:space="0" w:color="auto"/>
        <w:left w:val="none" w:sz="0" w:space="0" w:color="auto"/>
        <w:bottom w:val="none" w:sz="0" w:space="0" w:color="auto"/>
        <w:right w:val="none" w:sz="0" w:space="0" w:color="auto"/>
      </w:divBdr>
      <w:divsChild>
        <w:div w:id="1087925229">
          <w:marLeft w:val="0"/>
          <w:marRight w:val="0"/>
          <w:marTop w:val="0"/>
          <w:marBottom w:val="0"/>
          <w:divBdr>
            <w:top w:val="none" w:sz="0" w:space="0" w:color="auto"/>
            <w:left w:val="none" w:sz="0" w:space="0" w:color="auto"/>
            <w:bottom w:val="none" w:sz="0" w:space="0" w:color="auto"/>
            <w:right w:val="none" w:sz="0" w:space="0" w:color="auto"/>
          </w:divBdr>
        </w:div>
        <w:div w:id="177619821">
          <w:marLeft w:val="0"/>
          <w:marRight w:val="0"/>
          <w:marTop w:val="0"/>
          <w:marBottom w:val="0"/>
          <w:divBdr>
            <w:top w:val="none" w:sz="0" w:space="0" w:color="auto"/>
            <w:left w:val="none" w:sz="0" w:space="0" w:color="auto"/>
            <w:bottom w:val="none" w:sz="0" w:space="0" w:color="auto"/>
            <w:right w:val="none" w:sz="0" w:space="0" w:color="auto"/>
          </w:divBdr>
        </w:div>
        <w:div w:id="967006881">
          <w:marLeft w:val="0"/>
          <w:marRight w:val="0"/>
          <w:marTop w:val="0"/>
          <w:marBottom w:val="0"/>
          <w:divBdr>
            <w:top w:val="none" w:sz="0" w:space="0" w:color="auto"/>
            <w:left w:val="none" w:sz="0" w:space="0" w:color="auto"/>
            <w:bottom w:val="none" w:sz="0" w:space="0" w:color="auto"/>
            <w:right w:val="none" w:sz="0" w:space="0" w:color="auto"/>
          </w:divBdr>
        </w:div>
      </w:divsChild>
    </w:div>
    <w:div w:id="188648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6999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Монгуш Виктория Чойган-ооловна</cp:lastModifiedBy>
  <cp:revision>2</cp:revision>
  <cp:lastPrinted>2020-12-28T05:02:00Z</cp:lastPrinted>
  <dcterms:created xsi:type="dcterms:W3CDTF">2020-12-28T05:05:00Z</dcterms:created>
  <dcterms:modified xsi:type="dcterms:W3CDTF">2020-12-28T05:05:00Z</dcterms:modified>
</cp:coreProperties>
</file>